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/>
          <w:b/>
          <w:color w:val="000000"/>
          <w:spacing w:val="-15"/>
          <w:kern w:val="36"/>
          <w:sz w:val="44"/>
          <w:szCs w:val="44"/>
        </w:rPr>
      </w:pPr>
      <w:r>
        <w:rPr>
          <w:rFonts w:asciiTheme="majorEastAsia" w:hAnsiTheme="majorEastAsia" w:eastAsiaTheme="majorEastAsia"/>
          <w:b/>
          <w:color w:val="000000"/>
          <w:spacing w:val="-15"/>
          <w:kern w:val="36"/>
          <w:sz w:val="44"/>
          <w:szCs w:val="44"/>
        </w:rPr>
        <w:drawing>
          <wp:inline distT="0" distB="0" distL="114300" distR="114300">
            <wp:extent cx="2114550" cy="2122805"/>
            <wp:effectExtent l="0" t="0" r="0" b="10795"/>
            <wp:docPr id="7" name="图片 7" descr="4d9e9eca-8914-4e0a-97b7-394956c37a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4d9e9eca-8914-4e0a-97b7-394956c37a2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2122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ascii="黑体" w:hAnsi="黑体" w:eastAsia="黑体" w:cs="黑体"/>
          <w:bCs/>
          <w:color w:val="000000"/>
          <w:spacing w:val="-15"/>
          <w:kern w:val="36"/>
          <w:sz w:val="48"/>
          <w:szCs w:val="52"/>
        </w:rPr>
      </w:pPr>
      <w:r>
        <w:rPr>
          <w:rFonts w:ascii="黑体" w:hAnsi="黑体" w:eastAsia="黑体" w:cs="黑体"/>
          <w:bCs/>
          <w:color w:val="000000"/>
          <w:spacing w:val="-15"/>
          <w:kern w:val="36"/>
          <w:sz w:val="48"/>
          <w:szCs w:val="52"/>
        </w:rPr>
        <w:t>福建师范大学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黑体" w:hAnsi="黑体" w:eastAsia="黑体" w:cs="黑体"/>
          <w:bCs/>
          <w:color w:val="000000"/>
          <w:spacing w:val="-15"/>
          <w:kern w:val="36"/>
          <w:sz w:val="48"/>
          <w:szCs w:val="52"/>
        </w:rPr>
      </w:pPr>
      <w:r>
        <w:rPr>
          <w:rFonts w:hint="eastAsia" w:ascii="黑体" w:hAnsi="黑体" w:eastAsia="黑体" w:cs="黑体"/>
          <w:bCs/>
          <w:color w:val="000000"/>
          <w:spacing w:val="-15"/>
          <w:kern w:val="36"/>
          <w:sz w:val="48"/>
          <w:szCs w:val="52"/>
        </w:rPr>
        <w:t>实验室安全教育管理平台</w:t>
      </w:r>
    </w:p>
    <w:p>
      <w:pPr>
        <w:jc w:val="center"/>
        <w:rPr>
          <w:rFonts w:hint="eastAsia" w:ascii="黑体" w:hAnsi="黑体" w:eastAsia="黑体" w:cs="黑体"/>
          <w:bCs/>
          <w:color w:val="000000"/>
          <w:spacing w:val="-15"/>
          <w:kern w:val="36"/>
          <w:sz w:val="44"/>
          <w:szCs w:val="48"/>
        </w:rPr>
      </w:pPr>
    </w:p>
    <w:p>
      <w:pPr>
        <w:jc w:val="center"/>
        <w:rPr>
          <w:rFonts w:hint="eastAsia" w:ascii="黑体" w:hAnsi="黑体" w:eastAsia="黑体" w:cs="黑体"/>
          <w:bCs/>
          <w:color w:val="000000"/>
          <w:spacing w:val="-15"/>
          <w:kern w:val="36"/>
          <w:sz w:val="44"/>
          <w:szCs w:val="48"/>
        </w:rPr>
      </w:pPr>
    </w:p>
    <w:p>
      <w:pPr>
        <w:jc w:val="center"/>
        <w:rPr>
          <w:rFonts w:hint="eastAsia" w:ascii="黑体" w:hAnsi="黑体" w:eastAsia="黑体" w:cs="黑体"/>
          <w:bCs/>
          <w:color w:val="000000"/>
          <w:spacing w:val="-15"/>
          <w:kern w:val="36"/>
          <w:sz w:val="44"/>
          <w:szCs w:val="48"/>
        </w:rPr>
      </w:pPr>
    </w:p>
    <w:p>
      <w:pPr>
        <w:jc w:val="center"/>
        <w:rPr>
          <w:rFonts w:ascii="黑体" w:hAnsi="黑体" w:eastAsia="黑体" w:cs="黑体"/>
          <w:bCs/>
          <w:color w:val="000000"/>
          <w:spacing w:val="-15"/>
          <w:kern w:val="36"/>
          <w:sz w:val="56"/>
          <w:szCs w:val="72"/>
        </w:rPr>
      </w:pPr>
      <w:r>
        <w:rPr>
          <w:rFonts w:hint="eastAsia" w:ascii="黑体" w:hAnsi="黑体" w:eastAsia="黑体" w:cs="黑体"/>
          <w:bCs/>
          <w:color w:val="000000"/>
          <w:spacing w:val="-15"/>
          <w:kern w:val="36"/>
          <w:sz w:val="52"/>
          <w:szCs w:val="56"/>
          <w:lang w:val="en-US" w:eastAsia="zh-CN"/>
        </w:rPr>
        <w:t>二级单位管理员</w:t>
      </w:r>
      <w:r>
        <w:rPr>
          <w:rFonts w:hint="eastAsia" w:ascii="黑体" w:hAnsi="黑体" w:eastAsia="黑体" w:cs="黑体"/>
          <w:bCs/>
          <w:color w:val="000000"/>
          <w:spacing w:val="-15"/>
          <w:kern w:val="36"/>
          <w:sz w:val="56"/>
          <w:szCs w:val="72"/>
        </w:rPr>
        <w:t>用户手册</w:t>
      </w:r>
    </w:p>
    <w:p>
      <w:pPr>
        <w:rPr>
          <w:rFonts w:asciiTheme="majorEastAsia" w:hAnsiTheme="majorEastAsia" w:eastAsiaTheme="majorEastAsia"/>
          <w:b/>
          <w:color w:val="000000"/>
          <w:spacing w:val="-15"/>
          <w:kern w:val="36"/>
          <w:sz w:val="44"/>
          <w:szCs w:val="44"/>
        </w:rPr>
      </w:pPr>
    </w:p>
    <w:p>
      <w:pPr>
        <w:rPr>
          <w:rFonts w:asciiTheme="majorEastAsia" w:hAnsiTheme="majorEastAsia" w:eastAsiaTheme="majorEastAsia"/>
          <w:b/>
          <w:color w:val="000000"/>
          <w:spacing w:val="-15"/>
          <w:kern w:val="36"/>
          <w:sz w:val="44"/>
          <w:szCs w:val="44"/>
        </w:rPr>
      </w:pPr>
    </w:p>
    <w:p>
      <w:pPr>
        <w:jc w:val="center"/>
        <w:rPr>
          <w:rFonts w:ascii="黑体" w:hAnsi="黑体" w:eastAsia="黑体" w:cs="黑体"/>
          <w:bCs/>
          <w:sz w:val="30"/>
          <w:szCs w:val="72"/>
        </w:rPr>
      </w:pPr>
    </w:p>
    <w:p>
      <w:pPr>
        <w:jc w:val="center"/>
        <w:rPr>
          <w:rFonts w:hint="eastAsia" w:ascii="黑体" w:hAnsi="黑体" w:eastAsia="黑体" w:cs="黑体"/>
          <w:bCs/>
          <w:sz w:val="30"/>
          <w:szCs w:val="72"/>
        </w:rPr>
      </w:pPr>
    </w:p>
    <w:p>
      <w:pPr>
        <w:jc w:val="center"/>
        <w:rPr>
          <w:rFonts w:hint="eastAsia" w:ascii="黑体" w:hAnsi="黑体" w:eastAsia="黑体" w:cs="黑体"/>
          <w:bCs/>
          <w:sz w:val="30"/>
          <w:szCs w:val="72"/>
        </w:rPr>
      </w:pPr>
    </w:p>
    <w:p>
      <w:pPr>
        <w:jc w:val="center"/>
        <w:rPr>
          <w:rFonts w:hint="eastAsia" w:ascii="黑体" w:hAnsi="黑体" w:eastAsia="黑体" w:cs="黑体"/>
          <w:bCs/>
          <w:sz w:val="30"/>
          <w:szCs w:val="72"/>
        </w:rPr>
      </w:pPr>
    </w:p>
    <w:p>
      <w:pPr>
        <w:jc w:val="center"/>
        <w:rPr>
          <w:rFonts w:hint="eastAsia" w:ascii="黑体" w:hAnsi="黑体" w:eastAsia="黑体" w:cs="黑体"/>
          <w:bCs/>
          <w:sz w:val="30"/>
          <w:szCs w:val="72"/>
        </w:rPr>
      </w:pPr>
    </w:p>
    <w:p>
      <w:pPr>
        <w:jc w:val="center"/>
        <w:rPr>
          <w:rFonts w:ascii="黑体" w:hAnsi="黑体" w:eastAsia="黑体" w:cs="黑体"/>
          <w:bCs/>
          <w:sz w:val="30"/>
          <w:szCs w:val="72"/>
        </w:rPr>
      </w:pPr>
      <w:r>
        <w:rPr>
          <w:rFonts w:hint="eastAsia" w:ascii="黑体" w:hAnsi="黑体" w:eastAsia="黑体" w:cs="黑体"/>
          <w:bCs/>
          <w:sz w:val="30"/>
          <w:szCs w:val="72"/>
        </w:rPr>
        <w:t>20</w:t>
      </w:r>
      <w:r>
        <w:rPr>
          <w:rFonts w:hint="default" w:ascii="黑体" w:hAnsi="黑体" w:eastAsia="黑体" w:cs="黑体"/>
          <w:bCs/>
          <w:sz w:val="30"/>
          <w:szCs w:val="72"/>
        </w:rPr>
        <w:t>2</w:t>
      </w:r>
      <w:r>
        <w:rPr>
          <w:rFonts w:hint="eastAsia" w:ascii="黑体" w:hAnsi="黑体" w:eastAsia="黑体" w:cs="黑体"/>
          <w:bCs/>
          <w:sz w:val="30"/>
          <w:szCs w:val="72"/>
          <w:lang w:val="en-US" w:eastAsia="zh-CN"/>
        </w:rPr>
        <w:t>1</w:t>
      </w:r>
      <w:r>
        <w:rPr>
          <w:rFonts w:hint="eastAsia" w:ascii="黑体" w:hAnsi="黑体" w:eastAsia="黑体" w:cs="黑体"/>
          <w:bCs/>
          <w:sz w:val="30"/>
          <w:szCs w:val="72"/>
        </w:rPr>
        <w:t>年</w:t>
      </w:r>
      <w:r>
        <w:rPr>
          <w:rFonts w:hint="eastAsia" w:ascii="黑体" w:hAnsi="黑体" w:eastAsia="黑体" w:cs="黑体"/>
          <w:bCs/>
          <w:sz w:val="30"/>
          <w:szCs w:val="72"/>
          <w:lang w:val="en-US" w:eastAsia="zh-CN"/>
        </w:rPr>
        <w:t>8</w:t>
      </w:r>
      <w:r>
        <w:rPr>
          <w:rFonts w:hint="eastAsia" w:ascii="黑体" w:hAnsi="黑体" w:eastAsia="黑体" w:cs="黑体"/>
          <w:bCs/>
          <w:sz w:val="30"/>
          <w:szCs w:val="72"/>
        </w:rPr>
        <w:t>月</w:t>
      </w:r>
    </w:p>
    <w:p>
      <w:pPr>
        <w:widowControl/>
        <w:jc w:val="left"/>
        <w:rPr>
          <w:rFonts w:ascii="黑体" w:hAnsi="黑体" w:eastAsia="黑体" w:cs="黑体"/>
          <w:bCs/>
          <w:sz w:val="30"/>
          <w:szCs w:val="7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sdt>
      <w:sdtP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  <w:id w:val="813819358"/>
        <w15:color w:val="DBDBDB"/>
      </w:sdtPr>
      <w:sdtEndPr>
        <w:rPr>
          <w:rFonts w:hint="eastAsia" w:ascii="仿宋_GB2312" w:hAnsi="仿宋_GB2312" w:eastAsia="仿宋_GB2312" w:cs="仿宋_GB2312"/>
          <w:kern w:val="2"/>
          <w:sz w:val="32"/>
          <w:szCs w:val="3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rFonts w:hint="eastAsia" w:ascii="仿宋_GB2312" w:hAnsi="仿宋_GB2312" w:eastAsia="仿宋_GB2312" w:cs="仿宋_GB2312"/>
              <w:sz w:val="32"/>
              <w:szCs w:val="32"/>
            </w:rPr>
          </w:pPr>
          <w:bookmarkStart w:id="0" w:name="_Toc815902906_WPSOffice_Type1"/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t>目录</w:t>
          </w:r>
        </w:p>
        <w:p>
          <w:pPr>
            <w:pStyle w:val="8"/>
            <w:tabs>
              <w:tab w:val="right" w:leader="dot" w:pos="8306"/>
            </w:tabs>
            <w:rPr>
              <w:rFonts w:hint="eastAsia" w:ascii="仿宋_GB2312" w:hAnsi="仿宋_GB2312" w:eastAsia="仿宋_GB2312" w:cs="仿宋_GB2312"/>
              <w:sz w:val="32"/>
              <w:szCs w:val="32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instrText xml:space="preserve"> HYPERLINK \l _Toc253453227_WPSOffice_Level1 </w:instrTex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  <w:id w:val="813819358"/>
              <w:placeholder>
                <w:docPart w:val="{b61a54eb-02d2-4012-8324-99170ca2880b}"/>
              </w:placeholder>
              <w15:color w:val="509DF3"/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2"/>
                  <w:szCs w:val="32"/>
                </w:rPr>
                <w:t>一、登录方式</w:t>
              </w:r>
            </w:sdtContent>
          </w:sdt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tab/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2"/>
              <w:szCs w:val="32"/>
              <w:lang w:val="en-US" w:eastAsia="zh-CN"/>
            </w:rPr>
            <w:t>3</w:t>
          </w:r>
        </w:p>
        <w:p>
          <w:pPr>
            <w:pStyle w:val="8"/>
            <w:tabs>
              <w:tab w:val="right" w:leader="dot" w:pos="8306"/>
            </w:tabs>
            <w:rPr>
              <w:rFonts w:hint="eastAsia" w:ascii="仿宋_GB2312" w:hAnsi="仿宋_GB2312" w:eastAsia="仿宋_GB2312" w:cs="仿宋_GB2312"/>
              <w:sz w:val="32"/>
              <w:szCs w:val="32"/>
              <w:lang w:val="en-US" w:eastAsia="zh-CN"/>
            </w:rPr>
          </w:pP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instrText xml:space="preserve"> HYPERLINK \l _Toc815902906_WPSOffice_Level1 </w:instrTex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  <w:id w:val="813819358"/>
              <w:placeholder>
                <w:docPart w:val="{aabe70a0-f83d-4b2c-8998-d34f14c574f7}"/>
              </w:placeholder>
              <w15:color w:val="509DF3"/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2"/>
                  <w:szCs w:val="32"/>
                </w:rPr>
                <w:t>二、首页</w:t>
              </w:r>
            </w:sdtContent>
          </w:sdt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tab/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end"/>
          </w:r>
          <w:r>
            <w:rPr>
              <w:rFonts w:hint="eastAsia" w:ascii="仿宋_GB2312" w:hAnsi="仿宋_GB2312" w:eastAsia="仿宋_GB2312" w:cs="仿宋_GB2312"/>
              <w:sz w:val="32"/>
              <w:szCs w:val="32"/>
              <w:lang w:val="en-US" w:eastAsia="zh-CN"/>
            </w:rPr>
            <w:t>5</w:t>
          </w:r>
        </w:p>
        <w:p>
          <w:pPr>
            <w:pStyle w:val="8"/>
            <w:tabs>
              <w:tab w:val="right" w:leader="dot" w:pos="8306"/>
            </w:tabs>
            <w:rPr>
              <w:rFonts w:hint="eastAsia" w:ascii="仿宋_GB2312" w:hAnsi="仿宋_GB2312" w:eastAsia="仿宋_GB2312" w:cs="仿宋_GB2312"/>
              <w:sz w:val="32"/>
              <w:szCs w:val="32"/>
            </w:rPr>
          </w:pP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begin"/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instrText xml:space="preserve"> HYPERLINK \l _Toc1197055047_WPSOffice_Level1 </w:instrTex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separate"/>
          </w:r>
          <w:sdt>
            <w:sdt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  <w:id w:val="813819358"/>
              <w:placeholder>
                <w:docPart w:val="{f536ab84-35a8-4119-b48f-d1ae62f9a992}"/>
              </w:placeholder>
              <w15:color w:val="509DF3"/>
            </w:sdtPr>
            <w:sdtEndPr>
              <w:rPr>
                <w:rFonts w:hint="eastAsia" w:ascii="仿宋_GB2312" w:hAnsi="仿宋_GB2312" w:eastAsia="仿宋_GB2312" w:cs="仿宋_GB2312"/>
                <w:kern w:val="2"/>
                <w:sz w:val="32"/>
                <w:szCs w:val="32"/>
                <w:lang w:val="en-US" w:eastAsia="zh-CN" w:bidi="ar-SA"/>
              </w:rPr>
            </w:sdtEndPr>
            <w:sdtContent>
              <w:r>
                <w:rPr>
                  <w:rFonts w:hint="eastAsia" w:ascii="仿宋_GB2312" w:hAnsi="仿宋_GB2312" w:eastAsia="仿宋_GB2312" w:cs="仿宋_GB2312"/>
                  <w:sz w:val="32"/>
                  <w:szCs w:val="32"/>
                </w:rPr>
                <w:t>三、功能模块</w:t>
              </w:r>
            </w:sdtContent>
          </w:sdt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tab/>
          </w:r>
          <w:r>
            <w:rPr>
              <w:rFonts w:hint="eastAsia" w:ascii="仿宋_GB2312" w:hAnsi="仿宋_GB2312" w:eastAsia="仿宋_GB2312" w:cs="仿宋_GB2312"/>
              <w:sz w:val="32"/>
              <w:szCs w:val="32"/>
              <w:lang w:val="en-US" w:eastAsia="zh-CN"/>
            </w:rPr>
            <w:t>5</w:t>
          </w:r>
          <w:r>
            <w:rPr>
              <w:rFonts w:hint="eastAsia" w:ascii="仿宋_GB2312" w:hAnsi="仿宋_GB2312" w:eastAsia="仿宋_GB2312" w:cs="仿宋_GB2312"/>
              <w:sz w:val="32"/>
              <w:szCs w:val="32"/>
            </w:rPr>
            <w:fldChar w:fldCharType="end"/>
          </w:r>
          <w:bookmarkEnd w:id="0"/>
          <w:bookmarkStart w:id="5" w:name="_GoBack"/>
          <w:bookmarkEnd w:id="5"/>
        </w:p>
      </w:sdtContent>
    </w:sdt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widowControl/>
        <w:jc w:val="left"/>
        <w:rPr>
          <w:rFonts w:hint="eastAsia" w:ascii="仿宋_GB2312" w:hAnsi="仿宋_GB2312" w:eastAsia="仿宋_GB2312" w:cs="仿宋_GB2312"/>
          <w:bCs/>
          <w:sz w:val="32"/>
          <w:szCs w:val="32"/>
        </w:rPr>
      </w:pPr>
    </w:p>
    <w:p>
      <w:pPr>
        <w:spacing w:before="0" w:beforeLines="0" w:after="0" w:afterLines="0" w:line="240" w:lineRule="auto"/>
        <w:ind w:left="0" w:leftChars="0" w:right="0" w:rightChars="0" w:firstLine="0" w:firstLineChars="0"/>
        <w:jc w:val="both"/>
        <w:outlineLvl w:val="0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jc w:val="left"/>
        <w:textAlignment w:val="auto"/>
        <w:rPr>
          <w:rFonts w:hint="eastAsia" w:ascii="黑体" w:hAnsi="黑体" w:eastAsia="黑体" w:cs="黑体"/>
          <w:sz w:val="32"/>
          <w:szCs w:val="32"/>
        </w:rPr>
      </w:pPr>
      <w:bookmarkStart w:id="1" w:name="_Toc1489270290_WPSOffice_Level1"/>
      <w:bookmarkStart w:id="2" w:name="_Toc815902906_WPSOffice_Level1"/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登录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方式</w:t>
      </w:r>
      <w:bookmarkEnd w:id="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（一）系统设置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根据学校信息化建设与管理要求，该平台限校内网访问。推荐使用360急速模式、谷歌浏览器、火狐浏览器。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（二）系统链接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1.点击以下链接直接访问：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instrText xml:space="preserve"> HYPERLINK "http://sysgl.fjnu.edu.cn/fjnu_ksxt/center/login/Login.html" </w:instrTex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fldChar w:fldCharType="separate"/>
      </w:r>
      <w:r>
        <w:rPr>
          <w:rStyle w:val="7"/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http://sysgl.fjnu.edu.cn/fjnu_ksxt/center/login/Login.html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fldChar w:fldCharType="end"/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2.通过实验室与设备管理处网站访问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32"/>
          <w:szCs w:val="32"/>
        </w:rPr>
        <w:t>学校官网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</w:rPr>
        <w:instrText xml:space="preserve"> HYPERLINK "http://www.fjnu.edu.cn/" </w:instrTex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separate"/>
      </w:r>
      <w:r>
        <w:rPr>
          <w:rStyle w:val="7"/>
          <w:rFonts w:hint="eastAsia" w:ascii="仿宋_GB2312" w:hAnsi="仿宋_GB2312" w:eastAsia="仿宋_GB2312" w:cs="仿宋_GB2312"/>
          <w:sz w:val="32"/>
          <w:szCs w:val="32"/>
        </w:rPr>
        <w:t>http://www.fjnu.edu.cn/</w:t>
      </w:r>
      <w:r>
        <w:rPr>
          <w:rFonts w:hint="eastAsia" w:ascii="仿宋_GB2312" w:hAnsi="仿宋_GB2312" w:eastAsia="仿宋_GB2312" w:cs="仿宋_GB2312"/>
          <w:sz w:val="32"/>
          <w:szCs w:val="32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32"/>
          <w:szCs w:val="32"/>
        </w:rPr>
        <w:t>滑动屏幕到最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下方</w:t>
      </w:r>
      <w:r>
        <w:rPr>
          <w:rFonts w:hint="eastAsia" w:ascii="仿宋_GB2312" w:hAnsi="仿宋_GB2312" w:eastAsia="仿宋_GB2312" w:cs="仿宋_GB2312"/>
          <w:sz w:val="32"/>
          <w:szCs w:val="32"/>
        </w:rPr>
        <w:t>，如图所示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机关部处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32"/>
          <w:szCs w:val="32"/>
        </w:rPr>
        <w:t>选择“实验室与设备管理处（实验室危险化学品管理中心）”，进入到实验室与设备管理处网站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instrText xml:space="preserve"> HYPERLINK "http://sysbc.fjnu.edu.cn/。" </w:instrTex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fldChar w:fldCharType="separate"/>
      </w:r>
      <w:r>
        <w:rPr>
          <w:rStyle w:val="7"/>
          <w:rFonts w:hint="eastAsia" w:ascii="仿宋_GB2312" w:hAnsi="仿宋_GB2312" w:eastAsia="仿宋_GB2312" w:cs="仿宋_GB2312"/>
          <w:sz w:val="32"/>
          <w:szCs w:val="32"/>
          <w:lang w:eastAsia="zh-CN"/>
        </w:rPr>
        <w:t>http://sysbc.fjnu.edu.cn/。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312420</wp:posOffset>
            </wp:positionH>
            <wp:positionV relativeFrom="paragraph">
              <wp:posOffset>1270</wp:posOffset>
            </wp:positionV>
            <wp:extent cx="5268595" cy="2819400"/>
            <wp:effectExtent l="0" t="0" r="8255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（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）</w:t>
      </w:r>
      <w:r>
        <w:rPr>
          <w:rFonts w:hint="eastAsia" w:ascii="仿宋_GB2312" w:hAnsi="仿宋_GB2312" w:eastAsia="仿宋_GB2312" w:cs="仿宋_GB2312"/>
          <w:sz w:val="32"/>
          <w:szCs w:val="32"/>
        </w:rPr>
        <w:t>点击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网页</w:t>
      </w:r>
      <w:r>
        <w:rPr>
          <w:rFonts w:hint="eastAsia" w:ascii="仿宋_GB2312" w:hAnsi="仿宋_GB2312" w:eastAsia="仿宋_GB2312" w:cs="仿宋_GB2312"/>
          <w:sz w:val="32"/>
          <w:szCs w:val="32"/>
        </w:rPr>
        <w:t>右侧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32"/>
          <w:szCs w:val="32"/>
        </w:rPr>
        <w:t>实验室安全教育管理平台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图标</w:t>
      </w:r>
      <w:r>
        <w:rPr>
          <w:rFonts w:hint="eastAsia" w:ascii="仿宋_GB2312" w:hAnsi="仿宋_GB2312" w:eastAsia="仿宋_GB2312" w:cs="仿宋_GB2312"/>
          <w:sz w:val="32"/>
          <w:szCs w:val="32"/>
        </w:rPr>
        <w:t>进入登录界面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drawing>
          <wp:inline distT="0" distB="0" distL="114300" distR="114300">
            <wp:extent cx="4385310" cy="3370580"/>
            <wp:effectExtent l="0" t="0" r="15240" b="127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85310" cy="337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leftChars="0" w:firstLine="640" w:firstLineChars="20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（三）系统登录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使用福Star APP扫码登录或者点击二维码有上角蓝色小电脑进入账号密码输入页面，完成后点击登录，进入实验室安全教育管理平台。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福Star APP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初始账号为学号或工号，密码为身份证号码后6位，证件号码如果末位是X，必须使用大写X输入。</w:t>
      </w:r>
      <w:r>
        <w:rPr>
          <w:rFonts w:hint="eastAsia" w:ascii="仿宋_GB2312" w:hAnsi="仿宋_GB2312" w:eastAsia="仿宋_GB2312" w:cs="仿宋_GB2312"/>
          <w:sz w:val="32"/>
          <w:szCs w:val="32"/>
        </w:rPr>
        <w:t>登录认证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具体操作</w:t>
      </w:r>
      <w:r>
        <w:rPr>
          <w:rFonts w:hint="eastAsia" w:ascii="仿宋_GB2312" w:hAnsi="仿宋_GB2312" w:eastAsia="仿宋_GB2312" w:cs="仿宋_GB2312"/>
          <w:sz w:val="32"/>
          <w:szCs w:val="32"/>
        </w:rPr>
        <w:t>请查看附件《福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</w:t>
      </w:r>
      <w:r>
        <w:rPr>
          <w:rFonts w:hint="eastAsia" w:ascii="仿宋_GB2312" w:hAnsi="仿宋_GB2312" w:eastAsia="仿宋_GB2312" w:cs="仿宋_GB2312"/>
          <w:sz w:val="32"/>
          <w:szCs w:val="32"/>
        </w:rPr>
        <w:t>StarAPP 登录认证操作说明》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或点击查看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instrText xml:space="preserve"> HYPERLINK "http://net.fjnu.edu.cn/bc/61/c5351a244833/page.htm" </w:instrTex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separate"/>
      </w:r>
      <w:r>
        <w:rPr>
          <w:rStyle w:val="7"/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http://net.fjnu.edu.cn/bc/61/c5351a244833/page.htm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4566285" cy="2419350"/>
            <wp:effectExtent l="0" t="0" r="5715" b="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6628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jc w:val="left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bookmarkStart w:id="3" w:name="_Toc696867015_WPSOffice_Level1"/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首页</w:t>
      </w:r>
      <w:bookmarkEnd w:id="3"/>
    </w:p>
    <w:bookmarkEnd w:id="2"/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登录进入后，第一个界面为统计图，对学生的考试情况进行统计，有柱状图和饼状图组成。</w:t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71135" cy="1981200"/>
            <wp:effectExtent l="0" t="0" r="12065" b="0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="0" w:firstLine="640" w:firstLineChars="200"/>
        <w:jc w:val="left"/>
        <w:textAlignment w:val="auto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bookmarkStart w:id="4" w:name="_Toc1197055047_WPSOffice_Level1"/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功能模块</w:t>
      </w:r>
      <w:bookmarkEnd w:id="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（一）通知公告（包括信息发布、规章制度）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管理员可以通过系统对所管理范围内的考生进行通知公告。</w:t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73040" cy="2904490"/>
            <wp:effectExtent l="0" t="0" r="3810" b="10160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04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点击新增按钮，可以填写一些通知信息（如下图）填写完毕后，点击保存或者发布。</w:t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74310" cy="2860040"/>
            <wp:effectExtent l="0" t="0" r="8890" b="1016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（二）安全教育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1.在线学习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管理员可以上传教学课件等学习资料，供学生学习（如下图）：点击新增在线学习，填写基本信息、点击批量上传，选中课件、点击开始上传，最后点击发布。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243205</wp:posOffset>
            </wp:positionH>
            <wp:positionV relativeFrom="paragraph">
              <wp:posOffset>60325</wp:posOffset>
            </wp:positionV>
            <wp:extent cx="5273675" cy="2510155"/>
            <wp:effectExtent l="0" t="0" r="3175" b="4445"/>
            <wp:wrapTopAndBottom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10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ind w:firstLine="420" w:firstLineChars="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numPr>
          <w:ilvl w:val="0"/>
          <w:numId w:val="0"/>
        </w:numPr>
        <w:spacing w:line="360" w:lineRule="auto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5420" cy="2472055"/>
            <wp:effectExtent l="0" t="0" r="11430" b="444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72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firstLine="420" w:firstLineChars="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4785" cy="2626360"/>
            <wp:effectExtent l="0" t="0" r="12065" b="254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263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2.题库管理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（1）学校题库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二级单位管理员可以将校级题库中的试题复制进本单位题库。</w:t>
      </w:r>
    </w:p>
    <w:p>
      <w:pPr>
        <w:numPr>
          <w:ilvl w:val="0"/>
          <w:numId w:val="0"/>
        </w:numPr>
        <w:spacing w:line="360" w:lineRule="auto"/>
        <w:ind w:left="420" w:leftChars="0"/>
        <w:jc w:val="left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9865" cy="2997835"/>
            <wp:effectExtent l="0" t="0" r="13335" b="2476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97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（2）部门题库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二级单位管理员可针对本单位情况进行题库维护，可单个上传、批量上传。</w:t>
      </w:r>
    </w:p>
    <w:p>
      <w:pPr>
        <w:numPr>
          <w:ilvl w:val="0"/>
          <w:numId w:val="0"/>
        </w:numPr>
        <w:spacing w:line="360" w:lineRule="auto"/>
        <w:ind w:left="420" w:leftChars="0"/>
        <w:jc w:val="left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72405" cy="1858010"/>
            <wp:effectExtent l="0" t="0" r="10795" b="21590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58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（3）知识点管理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如果管理员维护的题库信息中的知识点在此模块中不存在，可进行新增。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3.试卷管理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管理员可以添加试卷，试卷可以重复使用。点击新增试卷，填写基本信息，根据实际情况选择组卷方式和题库范围，然后选择试卷需要的题，选择完毕后点击保存，即生成一份固定试卷。</w:t>
      </w:r>
    </w:p>
    <w:p>
      <w:pPr>
        <w:numPr>
          <w:ilvl w:val="0"/>
          <w:numId w:val="0"/>
        </w:numPr>
        <w:spacing w:line="360" w:lineRule="auto"/>
        <w:ind w:leftChars="0" w:firstLine="420" w:firstLineChars="0"/>
        <w:jc w:val="left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70500" cy="1699260"/>
            <wp:effectExtent l="0" t="0" r="12700" b="2540"/>
            <wp:docPr id="3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99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ind w:leftChars="0" w:firstLine="420" w:firstLineChars="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70500" cy="3271520"/>
            <wp:effectExtent l="0" t="0" r="12700" b="5080"/>
            <wp:docPr id="3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71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4.考试管理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（1）考试安排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管理员通过考试管理进行安排考试：点击考试安排，填写基本信息，选择考试时间、答题次数、试卷类型、考生范围，点击启用或者保存，考生就可以看到考试。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试卷类型有固定试卷和随机试卷两种：固定试卷是从试卷管理中进行选择（所有考生看到的考试内容试题均一致）；随机试卷是通过随机出题组成的考试（每个考生看到的考试内容均不一致）。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选择考生范围，可以全范围的方式进行圈定，也可以圈定个别考生。</w:t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9230" cy="1672590"/>
            <wp:effectExtent l="0" t="0" r="13970" b="3810"/>
            <wp:docPr id="3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672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68595" cy="2532380"/>
            <wp:effectExtent l="0" t="0" r="8255" b="1270"/>
            <wp:docPr id="3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rcRect b="1358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323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2245" cy="1508125"/>
            <wp:effectExtent l="0" t="0" r="14605" b="158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50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（2）考试结果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可以根据考试名称进行查看通过人数，也可以查看成绩列表。</w:t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71770" cy="2584450"/>
            <wp:effectExtent l="0" t="0" r="5080" b="6350"/>
            <wp:docPr id="3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84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点击成绩列表，详情如下图，可以看到答卷情况和交卷时间等信息。</w:t>
      </w:r>
    </w:p>
    <w:p>
      <w:pPr>
        <w:numPr>
          <w:ilvl w:val="0"/>
          <w:numId w:val="0"/>
        </w:numPr>
        <w:spacing w:line="360" w:lineRule="auto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271135" cy="2012315"/>
            <wp:effectExtent l="0" t="0" r="12065" b="19685"/>
            <wp:docPr id="3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012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考试成绩导出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管理员可根据安排的考试名称，导出相应的考试成绩excel表格。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点击考试结果右侧的成绩列表，导出excel表格。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-391795</wp:posOffset>
            </wp:positionH>
            <wp:positionV relativeFrom="paragraph">
              <wp:posOffset>336550</wp:posOffset>
            </wp:positionV>
            <wp:extent cx="6394450" cy="2181225"/>
            <wp:effectExtent l="0" t="0" r="6350" b="9525"/>
            <wp:wrapNone/>
            <wp:docPr id="9" name="图片 9" descr="成绩列表导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成绩列表导出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94450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 w:firstLine="640" w:firstLineChars="20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20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-294640</wp:posOffset>
            </wp:positionH>
            <wp:positionV relativeFrom="paragraph">
              <wp:posOffset>258445</wp:posOffset>
            </wp:positionV>
            <wp:extent cx="6280150" cy="2157095"/>
            <wp:effectExtent l="0" t="0" r="6350" b="14605"/>
            <wp:wrapNone/>
            <wp:docPr id="8" name="图片 8" descr="考试成绩导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考试成绩导出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280150" cy="2157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uto"/>
        <w:ind w:leftChars="20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60" w:lineRule="exact"/>
        <w:ind w:leftChars="200"/>
        <w:jc w:val="left"/>
        <w:textAlignment w:val="auto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numPr>
          <w:ilvl w:val="0"/>
          <w:numId w:val="0"/>
        </w:numPr>
        <w:spacing w:line="360" w:lineRule="auto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p>
      <w:pPr>
        <w:numPr>
          <w:ilvl w:val="0"/>
          <w:numId w:val="3"/>
        </w:numPr>
        <w:spacing w:line="360" w:lineRule="auto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证书查询</w:t>
      </w:r>
    </w:p>
    <w:p>
      <w:pPr>
        <w:numPr>
          <w:ilvl w:val="0"/>
          <w:numId w:val="0"/>
        </w:numPr>
        <w:spacing w:line="360" w:lineRule="auto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可在证书查询模块，输入学生姓名、所属学院等信息查询学生证书获取情况。</w:t>
      </w:r>
    </w:p>
    <w:p>
      <w:pPr>
        <w:numPr>
          <w:ilvl w:val="0"/>
          <w:numId w:val="0"/>
        </w:numPr>
        <w:spacing w:line="360" w:lineRule="auto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6123940" cy="1964690"/>
            <wp:effectExtent l="0" t="0" r="10160" b="16510"/>
            <wp:docPr id="10" name="图片 10" descr="证书查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证书查询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3940" cy="196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360" w:lineRule="auto"/>
        <w:jc w:val="both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</w:p>
    <w:sectPr>
      <w:footerReference r:id="rId3" w:type="default"/>
      <w:pgSz w:w="11906" w:h="16838"/>
      <w:pgMar w:top="1417" w:right="1418" w:bottom="1417" w:left="1418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5" name="文本框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32"/>
                              <w:lang w:eastAsia="zh-CN"/>
                            </w:rPr>
                          </w:pP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32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32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32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32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Theme="minorEastAsia" w:hAnsiTheme="minorEastAsia" w:eastAsiaTheme="minorEastAsia" w:cstheme="minorEastAsia"/>
                              <w:sz w:val="21"/>
                              <w:szCs w:val="32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32"/>
                        <w:lang w:eastAsia="zh-CN"/>
                      </w:rPr>
                    </w:pP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32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32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32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32"/>
                        <w:lang w:eastAsia="zh-CN"/>
                      </w:rPr>
                      <w:t>1</w:t>
                    </w:r>
                    <w:r>
                      <w:rPr>
                        <w:rFonts w:hint="eastAsia" w:asciiTheme="minorEastAsia" w:hAnsiTheme="minorEastAsia" w:eastAsiaTheme="minorEastAsia" w:cstheme="minorEastAsia"/>
                        <w:sz w:val="21"/>
                        <w:szCs w:val="32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9948554"/>
    <w:multiLevelType w:val="singleLevel"/>
    <w:tmpl w:val="B9948554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DE85120F"/>
    <w:multiLevelType w:val="singleLevel"/>
    <w:tmpl w:val="DE85120F"/>
    <w:lvl w:ilvl="0" w:tentative="0">
      <w:start w:val="3"/>
      <w:numFmt w:val="decimal"/>
      <w:suff w:val="nothing"/>
      <w:lvlText w:val="（%1）"/>
      <w:lvlJc w:val="left"/>
    </w:lvl>
  </w:abstractNum>
  <w:abstractNum w:abstractNumId="2">
    <w:nsid w:val="5F6D9A79"/>
    <w:multiLevelType w:val="multilevel"/>
    <w:tmpl w:val="5F6D9A79"/>
    <w:lvl w:ilvl="0" w:tentative="0">
      <w:start w:val="1"/>
      <w:numFmt w:val="chineseCounting"/>
      <w:suff w:val="nothing"/>
      <w:lvlText w:val="%1、"/>
      <w:lvlJc w:val="left"/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leftChars="0" w:hanging="420" w:firstLineChars="0"/>
      </w:pPr>
      <w:rPr>
        <w:rFonts w:hint="default"/>
      </w:rPr>
    </w:lvl>
    <w:lvl w:ilvl="2" w:tentative="0">
      <w:start w:val="1"/>
      <w:numFmt w:val="lowerRoman"/>
      <w:lvlText w:val="%3."/>
      <w:lvlJc w:val="left"/>
      <w:pPr>
        <w:tabs>
          <w:tab w:val="left" w:pos="1260"/>
        </w:tabs>
        <w:ind w:left="1260" w:leftChars="0" w:hanging="420" w:firstLineChars="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leftChars="0" w:hanging="420" w:firstLineChars="0"/>
      </w:pPr>
      <w:rPr>
        <w:rFonts w:hint="default"/>
      </w:r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leftChars="0" w:hanging="420" w:firstLineChars="0"/>
      </w:pPr>
      <w:rPr>
        <w:rFonts w:hint="default"/>
      </w:rPr>
    </w:lvl>
    <w:lvl w:ilvl="5" w:tentative="0">
      <w:start w:val="1"/>
      <w:numFmt w:val="lowerRoman"/>
      <w:lvlText w:val="%6."/>
      <w:lvlJc w:val="left"/>
      <w:pPr>
        <w:tabs>
          <w:tab w:val="left" w:pos="2520"/>
        </w:tabs>
        <w:ind w:left="2520" w:leftChars="0" w:hanging="420" w:firstLineChars="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leftChars="0" w:hanging="420" w:firstLineChars="0"/>
      </w:pPr>
      <w:rPr>
        <w:rFonts w:hint="default"/>
      </w:r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leftChars="0" w:hanging="420" w:firstLineChars="0"/>
      </w:pPr>
      <w:rPr>
        <w:rFonts w:hint="default"/>
      </w:rPr>
    </w:lvl>
    <w:lvl w:ilvl="8" w:tentative="0">
      <w:start w:val="1"/>
      <w:numFmt w:val="lowerRoman"/>
      <w:lvlText w:val="%9."/>
      <w:lvlJc w:val="left"/>
      <w:pPr>
        <w:tabs>
          <w:tab w:val="left" w:pos="3780"/>
        </w:tabs>
        <w:ind w:left="3780" w:leftChars="0" w:hanging="420" w:firstLineChars="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D076E62"/>
    <w:rsid w:val="1B6862A0"/>
    <w:rsid w:val="2949104E"/>
    <w:rsid w:val="3CCB3815"/>
    <w:rsid w:val="3D031F66"/>
    <w:rsid w:val="3DEC4BEE"/>
    <w:rsid w:val="3FBF1C1F"/>
    <w:rsid w:val="3FC431AA"/>
    <w:rsid w:val="52AF08FC"/>
    <w:rsid w:val="52FF314F"/>
    <w:rsid w:val="55B312D0"/>
    <w:rsid w:val="566C23A9"/>
    <w:rsid w:val="5DAB6053"/>
    <w:rsid w:val="5DBE3FFA"/>
    <w:rsid w:val="5EFABEFD"/>
    <w:rsid w:val="5FF99C47"/>
    <w:rsid w:val="5FFB68B5"/>
    <w:rsid w:val="60F35631"/>
    <w:rsid w:val="60FE704B"/>
    <w:rsid w:val="64C8008E"/>
    <w:rsid w:val="65BF10E2"/>
    <w:rsid w:val="65CC6633"/>
    <w:rsid w:val="66FC5CEE"/>
    <w:rsid w:val="69A48660"/>
    <w:rsid w:val="6AAC7794"/>
    <w:rsid w:val="6DFFD30A"/>
    <w:rsid w:val="77E70C04"/>
    <w:rsid w:val="795FD154"/>
    <w:rsid w:val="7D3B09CD"/>
    <w:rsid w:val="7DF7AFEE"/>
    <w:rsid w:val="7DFF37E4"/>
    <w:rsid w:val="7FF9CF76"/>
    <w:rsid w:val="7FFDD45A"/>
    <w:rsid w:val="A6B702D0"/>
    <w:rsid w:val="AFD9BD3F"/>
    <w:rsid w:val="BDAB1E42"/>
    <w:rsid w:val="BF9FD3CE"/>
    <w:rsid w:val="C9EB2235"/>
    <w:rsid w:val="D7DBD30C"/>
    <w:rsid w:val="E2F50E38"/>
    <w:rsid w:val="E37E15E5"/>
    <w:rsid w:val="EFE5E1DA"/>
    <w:rsid w:val="F6B0D322"/>
    <w:rsid w:val="F727E3F7"/>
    <w:rsid w:val="FFEF23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toc 1"/>
    <w:basedOn w:val="1"/>
    <w:next w:val="1"/>
    <w:qFormat/>
    <w:uiPriority w:val="0"/>
  </w:style>
  <w:style w:type="character" w:styleId="7">
    <w:name w:val="Hyperlink"/>
    <w:basedOn w:val="6"/>
    <w:qFormat/>
    <w:uiPriority w:val="0"/>
    <w:rPr>
      <w:color w:val="0000FF"/>
      <w:u w:val="single"/>
    </w:rPr>
  </w:style>
  <w:style w:type="paragraph" w:customStyle="1" w:styleId="8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0" Type="http://schemas.openxmlformats.org/officeDocument/2006/relationships/glossaryDocument" Target="glossary/document.xml"/><Relationship Id="rId3" Type="http://schemas.openxmlformats.org/officeDocument/2006/relationships/footer" Target="footer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customXml" Target="../customXml/item1.xml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{b61a54eb-02d2-4012-8324-99170ca2880b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61a54eb-02d2-4012-8324-99170ca2880b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aabe70a0-f83d-4b2c-8998-d34f14c574f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aabe70a0-f83d-4b2c-8998-d34f14c574f7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f536ab84-35a8-4119-b48f-d1ae62f9a992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536ab84-35a8-4119-b48f-d1ae62f9a992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compat>
    <w:useFELayout/>
    <w:splitPgBreakAndParaMark/>
    <w:compatSetting w:name="compatibilityMode" w:uri="http://schemas.microsoft.com/office/word" w:val="14"/>
  </w:compat>
  <w:rsids>
    <w:rsidRoot w:val="0000000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/>
</w:style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4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2014-10-30T20:08:00Z</dcterms:created>
  <dc:creator>acer</dc:creator>
  <cp:lastModifiedBy>蒲公英。</cp:lastModifiedBy>
  <dcterms:modified xsi:type="dcterms:W3CDTF">2021-09-13T03:14:01Z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  <property fmtid="{D5CDD505-2E9C-101B-9397-08002B2CF9AE}" pid="3" name="ICV">
    <vt:lpwstr>6815212B20274953AE817C79D92B8ABF</vt:lpwstr>
  </property>
</Properties>
</file>